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1F909" w14:textId="77777777" w:rsidR="00836325" w:rsidRPr="00171F9B" w:rsidRDefault="00836325" w:rsidP="00836325">
      <w:pPr>
        <w:rPr>
          <w:rFonts w:cs="Times New Roman"/>
          <w:szCs w:val="28"/>
        </w:rPr>
      </w:pPr>
    </w:p>
    <w:p w14:paraId="19CBABEF" w14:textId="77777777" w:rsidR="00836325" w:rsidRPr="00171F9B" w:rsidRDefault="00836325" w:rsidP="00836325">
      <w:pPr>
        <w:jc w:val="right"/>
        <w:rPr>
          <w:rFonts w:cs="Times New Roman"/>
          <w:szCs w:val="28"/>
        </w:rPr>
      </w:pPr>
      <w:r w:rsidRPr="00171F9B">
        <w:rPr>
          <w:rFonts w:cs="Times New Roman"/>
          <w:szCs w:val="28"/>
        </w:rPr>
        <w:t>Haralds Matulis</w:t>
      </w:r>
    </w:p>
    <w:p w14:paraId="358FA540" w14:textId="77777777" w:rsidR="00836325" w:rsidRPr="00171F9B" w:rsidRDefault="00836325" w:rsidP="00836325">
      <w:pPr>
        <w:rPr>
          <w:rFonts w:cs="Times New Roman"/>
          <w:szCs w:val="28"/>
        </w:rPr>
      </w:pPr>
    </w:p>
    <w:p w14:paraId="62C34F48" w14:textId="6D28248D" w:rsidR="00836325" w:rsidRPr="00171F9B" w:rsidRDefault="00836325" w:rsidP="00836325">
      <w:pPr>
        <w:jc w:val="center"/>
        <w:rPr>
          <w:rFonts w:cs="Times New Roman"/>
          <w:b/>
          <w:bCs/>
          <w:szCs w:val="28"/>
        </w:rPr>
      </w:pPr>
      <w:r w:rsidRPr="00171F9B">
        <w:rPr>
          <w:rFonts w:cs="Times New Roman"/>
          <w:b/>
          <w:bCs/>
          <w:szCs w:val="28"/>
        </w:rPr>
        <w:t>Ceļojums</w:t>
      </w:r>
      <w:r w:rsidR="00171F9B" w:rsidRPr="00171F9B">
        <w:rPr>
          <w:rFonts w:cs="Times New Roman"/>
          <w:b/>
          <w:bCs/>
          <w:szCs w:val="28"/>
        </w:rPr>
        <w:t xml:space="preserve"> uz Čerņivciem</w:t>
      </w:r>
    </w:p>
    <w:p w14:paraId="79C55E7C" w14:textId="77777777" w:rsidR="00836325" w:rsidRPr="00171F9B" w:rsidRDefault="00836325" w:rsidP="00836325">
      <w:pPr>
        <w:jc w:val="both"/>
        <w:rPr>
          <w:rFonts w:cs="Times New Roman"/>
          <w:szCs w:val="28"/>
          <w:u w:val="single"/>
        </w:rPr>
      </w:pPr>
    </w:p>
    <w:p w14:paraId="05123FC1" w14:textId="77777777" w:rsidR="00171F9B" w:rsidRPr="00171F9B" w:rsidRDefault="00171F9B" w:rsidP="00836325">
      <w:pPr>
        <w:ind w:firstLine="720"/>
        <w:jc w:val="both"/>
        <w:rPr>
          <w:rFonts w:cs="Times New Roman"/>
          <w:szCs w:val="28"/>
        </w:rPr>
      </w:pPr>
    </w:p>
    <w:p w14:paraId="7A9B96B7" w14:textId="73FE33D5" w:rsidR="00171F9B" w:rsidRPr="00171F9B" w:rsidRDefault="00171F9B" w:rsidP="00171F9B">
      <w:pPr>
        <w:ind w:firstLine="720"/>
        <w:jc w:val="both"/>
        <w:rPr>
          <w:rFonts w:cs="Times New Roman"/>
          <w:szCs w:val="28"/>
        </w:rPr>
      </w:pPr>
      <w:r w:rsidRPr="00171F9B">
        <w:rPr>
          <w:rFonts w:cs="Times New Roman"/>
          <w:color w:val="000000" w:themeColor="text1"/>
          <w:szCs w:val="28"/>
          <w:lang w:val="en-GB"/>
        </w:rPr>
        <w:t xml:space="preserve">Viss iesākas ar Čerņivciem </w:t>
      </w:r>
      <w:r w:rsidRPr="00171F9B">
        <w:rPr>
          <w:rFonts w:cs="Times New Roman"/>
          <w:szCs w:val="28"/>
        </w:rPr>
        <w:t>(</w:t>
      </w:r>
      <w:r w:rsidRPr="00171F9B">
        <w:rPr>
          <w:rFonts w:cs="Times New Roman"/>
          <w:i/>
          <w:iCs/>
          <w:color w:val="202122"/>
          <w:szCs w:val="28"/>
          <w:shd w:val="clear" w:color="auto" w:fill="FFFFFF"/>
        </w:rPr>
        <w:t>Чернівці́</w:t>
      </w:r>
      <w:r w:rsidRPr="00171F9B">
        <w:rPr>
          <w:rFonts w:cs="Times New Roman"/>
          <w:szCs w:val="28"/>
        </w:rPr>
        <w:t xml:space="preserve">) </w:t>
      </w:r>
      <w:r w:rsidRPr="00171F9B">
        <w:rPr>
          <w:rFonts w:cs="Times New Roman"/>
          <w:color w:val="000000" w:themeColor="text1"/>
          <w:szCs w:val="28"/>
          <w:lang w:val="en-GB"/>
        </w:rPr>
        <w:t xml:space="preserve">– gleznainu, klusu pilsētiņu Ukrainas rietumos, netālu no robežas ar Rumāniju. </w:t>
      </w:r>
      <w:r w:rsidRPr="00171F9B">
        <w:rPr>
          <w:rFonts w:cs="Times New Roman"/>
          <w:szCs w:val="28"/>
        </w:rPr>
        <w:t xml:space="preserve">Čerņivci ir pilsēta Karpatos, kurai ir pārsteidzoši daudz līdzīga ar Rīgu. Tā dēvēta par mazo Vīni, Dienvideiropas Babilonu, Jeruzalemi pie Prutas. Ilgstoši bijusi Austroungārijas sastāvā, tagad tā ir Ukrainas zeme. </w:t>
      </w:r>
    </w:p>
    <w:p w14:paraId="7A175581" w14:textId="186C0512" w:rsidR="00171F9B" w:rsidRPr="00171F9B" w:rsidRDefault="00171F9B" w:rsidP="00171F9B">
      <w:pPr>
        <w:ind w:firstLine="720"/>
        <w:jc w:val="both"/>
        <w:rPr>
          <w:rFonts w:cs="Times New Roman"/>
          <w:szCs w:val="28"/>
        </w:rPr>
      </w:pPr>
      <w:r w:rsidRPr="00171F9B">
        <w:rPr>
          <w:rFonts w:cs="Times New Roman"/>
          <w:szCs w:val="28"/>
        </w:rPr>
        <w:t>“Lejup uz ielas, kas ved gar pilsētas domi un tai pieguļošo laukumu, zemāk no pirmās ēdnīcas un tai pretim esošās viesnīcas Dņepr, zemāk ir labajā pusē maza saldējuma bodīte, tur ir saldējuma kokteilis, piena kokteilis, kādu astoņdesmitajos gados varēja dabūt Jūrmalā, un deviņdesmito gadu beigās veikalā pie Teikas, saldējuma bodīte ir maza, skats pa logu ir mazs, iela aiz loga ir slīpa, un pa atvērtajām durvīm redzams noblietētais, mašīnu nopulētais bruģis, pārdevējas ir gurdas un neatbild ar smaidu reto tūristu klusajai sajūsmai, padomiska atturība apkalpošanas kultūrā, īgnums. Saldējuma aparāti ir vecā dizaina, un griežas tajos lielas vārpstas, maisot un vēsinot mīksto masu, pēc dažiem gadiem, nākamajā reizē, kafejnīca jau būs slēgta, kāda uzņēmēja bērnības sapnis, pārdot saldējumu, būs beidzies, bezgalīgi daudz saldējuma, savs saldējuma aparāts, bērni vecākiem prasa smukos, jaunos, ārzemju saldējumus.</w:t>
      </w:r>
      <w:r>
        <w:rPr>
          <w:rFonts w:cs="Times New Roman"/>
          <w:szCs w:val="28"/>
        </w:rPr>
        <w:t>”</w:t>
      </w:r>
    </w:p>
    <w:p w14:paraId="23FAF1A9" w14:textId="62BD09EE" w:rsidR="00171F9B" w:rsidRPr="00171F9B" w:rsidRDefault="00171F9B" w:rsidP="00171F9B">
      <w:pPr>
        <w:ind w:firstLine="720"/>
        <w:jc w:val="both"/>
        <w:rPr>
          <w:rFonts w:cs="Times New Roman"/>
          <w:szCs w:val="28"/>
        </w:rPr>
      </w:pPr>
      <w:r w:rsidRPr="00171F9B">
        <w:rPr>
          <w:rFonts w:cs="Times New Roman"/>
          <w:szCs w:val="28"/>
        </w:rPr>
        <w:t>Ceļojums uz Čerņivciem aizsākas kā atmiņas par ceļošanu Austrumeiropā kopš deviņdesmitajiem gadiem un pamazām pārvēršas par iekšējiem koloniālā subjekta meklējumiem: postsociālisms, postkoloniālisms, nacionālisms, nacionālā identitāte, sociālā atmiņa, nesenās vēstures dokumentēšana, mikronaratīvi, biogrāfiskā metode, refleksīvā socioloģija, vietu un lietu antropoloģija, lokālās vēstures, mikronaratīvi.</w:t>
      </w:r>
      <w:r>
        <w:rPr>
          <w:rFonts w:cs="Times New Roman"/>
          <w:szCs w:val="28"/>
        </w:rPr>
        <w:t xml:space="preserve"> </w:t>
      </w:r>
      <w:r w:rsidRPr="00171F9B">
        <w:rPr>
          <w:rFonts w:cs="Times New Roman"/>
          <w:szCs w:val="28"/>
        </w:rPr>
        <w:t xml:space="preserve">Nostalģija pēc aizgājušā padomju laika bērnības atmiņām. Minska, Ļvova, Čerņivci – padomju un pēcpadomju laiks. Baltijas republikas kā visvairāk uz rietumiem esošā PSRS daļa. Deviņdesmito sajūta, ko rada uzposums, rietumu gaismas sienas, reklāmas, apjumtie saulessargi un plastmasas krēsli. Tūristu vēl maz, bet drīz gaidāms uzplaukums, visi grib nopelnīt. </w:t>
      </w:r>
    </w:p>
    <w:p w14:paraId="3309628D" w14:textId="7287EC7F" w:rsidR="00171F9B" w:rsidRPr="00171F9B" w:rsidRDefault="00171F9B" w:rsidP="00171F9B">
      <w:pPr>
        <w:ind w:firstLine="720"/>
        <w:jc w:val="both"/>
        <w:rPr>
          <w:rFonts w:cs="Times New Roman"/>
          <w:szCs w:val="28"/>
        </w:rPr>
      </w:pPr>
      <w:r w:rsidRPr="00171F9B">
        <w:rPr>
          <w:rFonts w:cs="Times New Roman"/>
          <w:szCs w:val="28"/>
        </w:rPr>
        <w:t>Ceļošana – postkoloniālā skatiena neizbēgamība. Hierarhijas. Koloniālās ilgas – Tobago, Lietuvas dižvalsts. Postkoloniālais skatījums, baltieši, kas skatās kā vecākie brāļi uz Baltkrieviju un Ukrainu. Kērzona līnija, pārmaiņas kopš I Pasaules kara. Austrumeiropa kā starpzona, buferis starp Krieviju un Eiropu. Česlavs Milošs par Austrumeiropas piederības alkām Eiropai.</w:t>
      </w:r>
    </w:p>
    <w:p w14:paraId="5FD7476A" w14:textId="6FAB470F" w:rsidR="00171F9B" w:rsidRPr="00171F9B" w:rsidRDefault="00171F9B" w:rsidP="00171F9B">
      <w:pPr>
        <w:ind w:firstLine="720"/>
        <w:jc w:val="both"/>
        <w:rPr>
          <w:rFonts w:cs="Times New Roman"/>
          <w:szCs w:val="28"/>
        </w:rPr>
      </w:pPr>
      <w:r w:rsidRPr="00171F9B">
        <w:rPr>
          <w:rFonts w:cs="Times New Roman"/>
          <w:szCs w:val="28"/>
        </w:rPr>
        <w:t xml:space="preserve">Projekta gala rezultāts ir 8 gleznu un diskursīvo prakšu sērija. Gleznu sērija veidota no relatīvi patstāvīgiem postsociālisma / postkoloniālisma motīviem, </w:t>
      </w:r>
      <w:r w:rsidRPr="00171F9B">
        <w:rPr>
          <w:rFonts w:cs="Times New Roman"/>
          <w:szCs w:val="28"/>
        </w:rPr>
        <w:lastRenderedPageBreak/>
        <w:t xml:space="preserve">izkārtojot tos kopējā, secīgā vēstījumā. Savukārt diskursīvās prakses saspēlējas ar līdzās esošiem attēliem, šajā mijiedarbē mainot gan teksta, gan attēla uztveres semiotiku, radot jaunu, kombinētu nozīmi. </w:t>
      </w:r>
    </w:p>
    <w:p w14:paraId="3CF69452" w14:textId="77777777" w:rsidR="00254E00" w:rsidRPr="00171F9B" w:rsidRDefault="00254E00" w:rsidP="00254E00">
      <w:pPr>
        <w:jc w:val="both"/>
        <w:rPr>
          <w:rFonts w:cs="Times New Roman"/>
          <w:szCs w:val="28"/>
        </w:rPr>
      </w:pPr>
      <w:r w:rsidRPr="00171F9B">
        <w:rPr>
          <w:rFonts w:cs="Times New Roman"/>
          <w:szCs w:val="28"/>
        </w:rPr>
        <w:t xml:space="preserve"> </w:t>
      </w:r>
    </w:p>
    <w:p w14:paraId="5AA4E78D" w14:textId="77777777" w:rsidR="00254E00" w:rsidRPr="00171F9B" w:rsidRDefault="00254E00" w:rsidP="00254E00">
      <w:pPr>
        <w:rPr>
          <w:rFonts w:cs="Times New Roman"/>
          <w:szCs w:val="28"/>
        </w:rPr>
      </w:pPr>
    </w:p>
    <w:p w14:paraId="788A3AA7" w14:textId="77777777" w:rsidR="00836325" w:rsidRPr="00171F9B" w:rsidRDefault="00836325">
      <w:pPr>
        <w:rPr>
          <w:rFonts w:cs="Times New Roman"/>
          <w:szCs w:val="28"/>
        </w:rPr>
      </w:pPr>
    </w:p>
    <w:sectPr w:rsidR="00836325" w:rsidRPr="00171F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325"/>
    <w:rsid w:val="00171F9B"/>
    <w:rsid w:val="00254E00"/>
    <w:rsid w:val="00344AB7"/>
    <w:rsid w:val="007A5A23"/>
    <w:rsid w:val="00836325"/>
    <w:rsid w:val="00883962"/>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44F46140"/>
  <w15:chartTrackingRefBased/>
  <w15:docId w15:val="{BAC432A1-3879-D04C-A0E5-6B981279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Arial"/>
        <w:color w:val="202124"/>
        <w:sz w:val="28"/>
        <w:szCs w:val="30"/>
        <w:lang w:val="en-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325"/>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361</Words>
  <Characters>2423</Characters>
  <Application>Microsoft Office Word</Application>
  <DocSecurity>0</DocSecurity>
  <Lines>45</Lines>
  <Paragraphs>7</Paragraphs>
  <ScaleCrop>false</ScaleCrop>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Haralds Matulis</dc:creator>
  <cp:keywords/>
  <dc:description/>
  <cp:lastModifiedBy>Haralds Matulis</cp:lastModifiedBy>
  <cp:revision>5</cp:revision>
  <dcterms:created xsi:type="dcterms:W3CDTF">2022-09-17T06:58:00Z</dcterms:created>
  <dcterms:modified xsi:type="dcterms:W3CDTF">2022-09-18T11:26:00Z</dcterms:modified>
</cp:coreProperties>
</file>